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9B6E" w14:textId="77777777" w:rsidR="00BD1207" w:rsidRPr="00BD1207" w:rsidRDefault="00BD1207" w:rsidP="00BD1207">
      <w:pPr>
        <w:shd w:val="clear" w:color="auto" w:fill="FFFFFF"/>
        <w:spacing w:before="100" w:beforeAutospacing="1" w:after="100" w:afterAutospacing="1" w:line="750" w:lineRule="atLeast"/>
        <w:textAlignment w:val="baseline"/>
        <w:outlineLvl w:val="0"/>
        <w:rPr>
          <w:rFonts w:ascii="Helvetica" w:eastAsia="Times New Roman" w:hAnsi="Helvetica" w:cs="Helvetica"/>
          <w:b/>
          <w:bCs/>
          <w:color w:val="333333"/>
          <w:kern w:val="36"/>
          <w:sz w:val="54"/>
          <w:szCs w:val="54"/>
          <w14:ligatures w14:val="none"/>
        </w:rPr>
      </w:pPr>
      <w:r w:rsidRPr="00BD1207">
        <w:rPr>
          <w:rFonts w:ascii="Helvetica" w:eastAsia="Times New Roman" w:hAnsi="Helvetica" w:cs="Helvetica"/>
          <w:b/>
          <w:bCs/>
          <w:color w:val="333333"/>
          <w:kern w:val="36"/>
          <w:sz w:val="54"/>
          <w:szCs w:val="54"/>
          <w14:ligatures w14:val="none"/>
        </w:rPr>
        <w:t>Sociocentric Thinking</w:t>
      </w:r>
    </w:p>
    <w:p w14:paraId="49CAAC5E" w14:textId="77777777" w:rsidR="00BD1207" w:rsidRPr="00BD1207" w:rsidRDefault="00BD1207" w:rsidP="00BD1207">
      <w:pPr>
        <w:shd w:val="clear" w:color="auto" w:fill="FFFFFF"/>
        <w:spacing w:beforeAutospacing="1" w:after="0" w:afterAutospacing="1" w:line="390" w:lineRule="atLeast"/>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i/>
          <w:iCs/>
          <w:color w:val="333333"/>
          <w:kern w:val="0"/>
          <w:bdr w:val="none" w:sz="0" w:space="0" w:color="auto" w:frame="1"/>
          <w14:ligatures w14:val="none"/>
        </w:rPr>
        <w:t>Whenever you find yourself on the side of the majority, it is time to pause and reflect.</w:t>
      </w:r>
      <w:r w:rsidRPr="00BD1207">
        <w:rPr>
          <w:rFonts w:ascii="Helvetica" w:eastAsia="Times New Roman" w:hAnsi="Helvetica" w:cs="Helvetica"/>
          <w:i/>
          <w:iCs/>
          <w:color w:val="333333"/>
          <w:kern w:val="0"/>
          <w:bdr w:val="none" w:sz="0" w:space="0" w:color="auto" w:frame="1"/>
          <w14:ligatures w14:val="none"/>
        </w:rPr>
        <w:br/>
      </w:r>
      <w:r w:rsidRPr="00BD1207">
        <w:rPr>
          <w:rFonts w:ascii="Helvetica" w:eastAsia="Times New Roman" w:hAnsi="Helvetica" w:cs="Helvetica"/>
          <w:b/>
          <w:bCs/>
          <w:i/>
          <w:iCs/>
          <w:color w:val="333333"/>
          <w:kern w:val="0"/>
          <w:bdr w:val="none" w:sz="0" w:space="0" w:color="auto" w:frame="1"/>
          <w14:ligatures w14:val="none"/>
        </w:rPr>
        <w:t>— Mark Twain</w:t>
      </w:r>
    </w:p>
    <w:p w14:paraId="7F437114" w14:textId="77777777" w:rsidR="00BD1207" w:rsidRPr="00BD1207" w:rsidRDefault="00BD1207" w:rsidP="00BD1207">
      <w:pPr>
        <w:shd w:val="clear" w:color="auto" w:fill="FFFFFF"/>
        <w:spacing w:before="100" w:beforeAutospacing="1" w:after="100" w:afterAutospacing="1" w:line="390" w:lineRule="atLeast"/>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t>Being human means being a member of groups. We may uncritically accept the beliefs, behaviors, and taboos of groups to which we belong. Conformity to group restrictions is often automatic and unreflective. Failing to abide by the group’s expectations could result in being cut off from the group.</w:t>
      </w:r>
    </w:p>
    <w:p w14:paraId="595611C9" w14:textId="77777777" w:rsidR="00BD1207" w:rsidRPr="00BD1207" w:rsidRDefault="00BD1207" w:rsidP="00BD1207">
      <w:pPr>
        <w:shd w:val="clear" w:color="auto" w:fill="FFFFFF"/>
        <w:spacing w:before="100" w:beforeAutospacing="1" w:after="100" w:afterAutospacing="1" w:line="390" w:lineRule="atLeast"/>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t>Sociocentric thinking is egocentric thinking raised to the group level and can be more destructive as it carries the sanctions of the social group. As with egocentric thinking, when one becomes conscious of their sociocentric thinking, the unreasonableness will be obvious.</w:t>
      </w:r>
    </w:p>
    <w:p w14:paraId="55F5403B" w14:textId="77777777" w:rsidR="00BD1207" w:rsidRPr="00BD1207" w:rsidRDefault="00BD1207" w:rsidP="00BD1207">
      <w:pPr>
        <w:shd w:val="clear" w:color="auto" w:fill="FFFFFF"/>
        <w:spacing w:before="100" w:beforeAutospacing="1" w:after="100" w:afterAutospacing="1" w:line="390" w:lineRule="atLeast"/>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t>Sociocentric “systems” are used in complex societies to stratify populations and to justify special—or unjust—treatment. Typically, the elite of any society or culture enjoy preferential treatment while the disenfranchised suffer neglect and injustice. Much of this happens without conscious thought—it’s just the way it is.</w:t>
      </w:r>
    </w:p>
    <w:p w14:paraId="3CAE0D12" w14:textId="77777777" w:rsidR="00BD1207" w:rsidRPr="00BD1207" w:rsidRDefault="00BD1207" w:rsidP="00BD1207">
      <w:pPr>
        <w:shd w:val="clear" w:color="auto" w:fill="FFFFFF"/>
        <w:spacing w:before="100" w:beforeAutospacing="1" w:after="100" w:afterAutospacing="1" w:line="390" w:lineRule="atLeast"/>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t>When a nation is controlled by the thinking of a dominant group, the result can be an inquisition, a holocaust, the destruction of native inhabitants, or enslavement of others. This is why groups, when using sociocentric mindset in largely unreflective and abusive ways, can be much more dangerous than isolated egocentric thinking.</w:t>
      </w:r>
    </w:p>
    <w:p w14:paraId="7C384C1E" w14:textId="77777777" w:rsidR="00BD1207" w:rsidRPr="00BD1207" w:rsidRDefault="00BD1207" w:rsidP="00BD1207">
      <w:pPr>
        <w:shd w:val="clear" w:color="auto" w:fill="FFFFFF"/>
        <w:spacing w:before="100" w:beforeAutospacing="1" w:after="100" w:afterAutospacing="1" w:line="510" w:lineRule="atLeast"/>
        <w:textAlignment w:val="baseline"/>
        <w:outlineLvl w:val="2"/>
        <w:rPr>
          <w:rFonts w:ascii="Helvetica" w:eastAsia="Times New Roman" w:hAnsi="Helvetica" w:cs="Helvetica"/>
          <w:b/>
          <w:bCs/>
          <w:color w:val="333333"/>
          <w:kern w:val="0"/>
          <w:sz w:val="36"/>
          <w:szCs w:val="36"/>
          <w14:ligatures w14:val="none"/>
        </w:rPr>
      </w:pPr>
      <w:r w:rsidRPr="00BD1207">
        <w:rPr>
          <w:rFonts w:ascii="Helvetica" w:eastAsia="Times New Roman" w:hAnsi="Helvetica" w:cs="Helvetica"/>
          <w:b/>
          <w:bCs/>
          <w:color w:val="333333"/>
          <w:kern w:val="0"/>
          <w:sz w:val="36"/>
          <w:szCs w:val="36"/>
          <w14:ligatures w14:val="none"/>
        </w:rPr>
        <w:t>Types of Sociocentric Thinking</w:t>
      </w:r>
    </w:p>
    <w:p w14:paraId="16CD2046" w14:textId="77777777" w:rsidR="00BD1207" w:rsidRPr="00BD1207" w:rsidRDefault="00BD1207" w:rsidP="00BD1207">
      <w:pPr>
        <w:shd w:val="clear" w:color="auto" w:fill="FFFFFF"/>
        <w:spacing w:before="100" w:beforeAutospacing="1" w:after="100" w:afterAutospacing="1" w:line="390" w:lineRule="atLeast"/>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t>Like egocentric thinking, groups often employ self-serving standards of thinking to determine what to believe. In order to protect, validate, and promote their self-serving wants and needs, groups may employ several common psychological standards simply elevated from the egocentric level to the sociocentric level.</w:t>
      </w:r>
    </w:p>
    <w:p w14:paraId="565BDD31" w14:textId="77777777" w:rsidR="00BD1207" w:rsidRPr="00BD1207" w:rsidRDefault="00BD1207" w:rsidP="00BD1207">
      <w:pPr>
        <w:numPr>
          <w:ilvl w:val="0"/>
          <w:numId w:val="1"/>
        </w:numPr>
        <w:shd w:val="clear" w:color="auto" w:fill="FFFFFF"/>
        <w:spacing w:after="0" w:line="390" w:lineRule="atLeast"/>
        <w:textAlignment w:val="baseline"/>
        <w:rPr>
          <w:rFonts w:ascii="Helvetica" w:eastAsia="Times New Roman" w:hAnsi="Helvetica" w:cs="Helvetica"/>
          <w:color w:val="333333"/>
          <w:kern w:val="0"/>
          <w14:ligatures w14:val="none"/>
        </w:rPr>
      </w:pPr>
      <w:hyperlink r:id="rId5" w:history="1">
        <w:r w:rsidRPr="00BD1207">
          <w:rPr>
            <w:rFonts w:ascii="Helvetica" w:eastAsia="Times New Roman" w:hAnsi="Helvetica" w:cs="Helvetica"/>
            <w:color w:val="FFFFFF"/>
            <w:kern w:val="0"/>
            <w:bdr w:val="none" w:sz="0" w:space="0" w:color="auto" w:frame="1"/>
            <w:shd w:val="clear" w:color="auto" w:fill="0F6DA8"/>
            <w14:ligatures w14:val="none"/>
          </w:rPr>
          <w:t>It's true because we believe it</w:t>
        </w:r>
      </w:hyperlink>
    </w:p>
    <w:p w14:paraId="1D4190BF" w14:textId="77777777" w:rsidR="00BD1207" w:rsidRPr="00BD1207" w:rsidRDefault="00BD1207" w:rsidP="00BD1207">
      <w:pPr>
        <w:shd w:val="clear" w:color="auto" w:fill="FFFFFF"/>
        <w:spacing w:before="100" w:beforeAutospacing="1" w:after="100" w:afterAutospacing="1" w:line="390" w:lineRule="atLeast"/>
        <w:ind w:left="720"/>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lastRenderedPageBreak/>
        <w:t>Assuming whatever we believe is true because we have never questioned the basis for our beliefs, and there is strength in numbers.</w:t>
      </w:r>
    </w:p>
    <w:p w14:paraId="775AB119" w14:textId="77777777" w:rsidR="00BD1207" w:rsidRPr="00BD1207" w:rsidRDefault="00BD1207" w:rsidP="00BD1207">
      <w:pPr>
        <w:shd w:val="clear" w:color="auto" w:fill="FFFFFF"/>
        <w:spacing w:beforeAutospacing="1" w:after="0" w:afterAutospacing="1" w:line="390" w:lineRule="atLeast"/>
        <w:ind w:left="720"/>
        <w:textAlignment w:val="baseline"/>
        <w:outlineLvl w:val="3"/>
        <w:rPr>
          <w:rFonts w:ascii="Helvetica" w:eastAsia="Times New Roman" w:hAnsi="Helvetica" w:cs="Helvetica"/>
          <w:b/>
          <w:bCs/>
          <w:color w:val="333333"/>
          <w:kern w:val="0"/>
          <w14:ligatures w14:val="none"/>
        </w:rPr>
      </w:pPr>
      <w:r w:rsidRPr="00BD1207">
        <w:rPr>
          <w:rFonts w:ascii="Helvetica" w:eastAsia="Times New Roman" w:hAnsi="Helvetica" w:cs="Helvetica"/>
          <w:b/>
          <w:bCs/>
          <w:color w:val="333333"/>
          <w:kern w:val="0"/>
          <w:bdr w:val="none" w:sz="0" w:space="0" w:color="auto" w:frame="1"/>
          <w14:ligatures w14:val="none"/>
        </w:rPr>
        <w:t>Examples:</w:t>
      </w:r>
    </w:p>
    <w:p w14:paraId="6D48F162" w14:textId="77777777" w:rsidR="00BD1207" w:rsidRPr="00BD1207" w:rsidRDefault="00BD1207" w:rsidP="00BD1207">
      <w:pPr>
        <w:shd w:val="clear" w:color="auto" w:fill="FFFFFF"/>
        <w:spacing w:before="100" w:beforeAutospacing="1" w:after="100" w:afterAutospacing="1" w:line="390" w:lineRule="atLeast"/>
        <w:ind w:left="720"/>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t>Many prejudices and biases held by groups of people (us against them) are the result of innate sociocentrism and lack of reflection. Discriminating against minorities is a classic example.</w:t>
      </w:r>
    </w:p>
    <w:p w14:paraId="22612C9F" w14:textId="77777777" w:rsidR="00BD1207" w:rsidRDefault="00BD1207" w:rsidP="00BD1207">
      <w:pPr>
        <w:shd w:val="clear" w:color="auto" w:fill="FFFFFF"/>
        <w:spacing w:before="100" w:beforeAutospacing="1" w:after="100" w:afterAutospacing="1" w:line="390" w:lineRule="atLeast"/>
        <w:ind w:left="720"/>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t>Allegiance to a political party may encourage public declarations of shared beliefs to promote party unity.</w:t>
      </w:r>
    </w:p>
    <w:p w14:paraId="4B4FBEB8" w14:textId="77777777" w:rsidR="00BD1207" w:rsidRPr="00BD1207" w:rsidRDefault="00BD1207" w:rsidP="00BD1207">
      <w:pPr>
        <w:numPr>
          <w:ilvl w:val="0"/>
          <w:numId w:val="2"/>
        </w:numPr>
        <w:shd w:val="clear" w:color="auto" w:fill="FFFFFF"/>
        <w:spacing w:after="0" w:line="390" w:lineRule="atLeast"/>
        <w:textAlignment w:val="baseline"/>
        <w:rPr>
          <w:rFonts w:ascii="Helvetica" w:eastAsia="Times New Roman" w:hAnsi="Helvetica" w:cs="Helvetica"/>
          <w:color w:val="333333"/>
          <w:kern w:val="0"/>
          <w14:ligatures w14:val="none"/>
        </w:rPr>
      </w:pPr>
      <w:hyperlink r:id="rId6" w:history="1">
        <w:r w:rsidRPr="00BD1207">
          <w:rPr>
            <w:rFonts w:ascii="Helvetica" w:eastAsia="Times New Roman" w:hAnsi="Helvetica" w:cs="Helvetica"/>
            <w:color w:val="FFFFFF"/>
            <w:kern w:val="0"/>
            <w:bdr w:val="none" w:sz="0" w:space="0" w:color="auto" w:frame="1"/>
            <w:shd w:val="clear" w:color="auto" w:fill="0F6DA8"/>
            <w14:ligatures w14:val="none"/>
          </w:rPr>
          <w:t>"It's true because we want to believe it."</w:t>
        </w:r>
      </w:hyperlink>
    </w:p>
    <w:p w14:paraId="4D5482DE" w14:textId="77777777" w:rsidR="00BD1207" w:rsidRPr="00BD1207" w:rsidRDefault="00BD1207" w:rsidP="00BD1207">
      <w:pPr>
        <w:shd w:val="clear" w:color="auto" w:fill="FFFFFF"/>
        <w:spacing w:before="100" w:beforeAutospacing="1" w:after="100" w:afterAutospacing="1" w:line="390" w:lineRule="atLeast"/>
        <w:ind w:left="720"/>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t>Believing what puts us in a positive rather than a negative light, not seriously considering more negative accounts.</w:t>
      </w:r>
    </w:p>
    <w:p w14:paraId="3E2D5950" w14:textId="77777777" w:rsidR="00BD1207" w:rsidRPr="00BD1207" w:rsidRDefault="00BD1207" w:rsidP="00BD1207">
      <w:pPr>
        <w:shd w:val="clear" w:color="auto" w:fill="FFFFFF"/>
        <w:spacing w:beforeAutospacing="1" w:after="0" w:afterAutospacing="1" w:line="390" w:lineRule="atLeast"/>
        <w:ind w:left="720"/>
        <w:textAlignment w:val="baseline"/>
        <w:outlineLvl w:val="3"/>
        <w:rPr>
          <w:rFonts w:ascii="Helvetica" w:eastAsia="Times New Roman" w:hAnsi="Helvetica" w:cs="Helvetica"/>
          <w:b/>
          <w:bCs/>
          <w:color w:val="333333"/>
          <w:kern w:val="0"/>
          <w14:ligatures w14:val="none"/>
        </w:rPr>
      </w:pPr>
      <w:r w:rsidRPr="00BD1207">
        <w:rPr>
          <w:rFonts w:ascii="Helvetica" w:eastAsia="Times New Roman" w:hAnsi="Helvetica" w:cs="Helvetica"/>
          <w:b/>
          <w:bCs/>
          <w:color w:val="333333"/>
          <w:kern w:val="0"/>
          <w:bdr w:val="none" w:sz="0" w:space="0" w:color="auto" w:frame="1"/>
          <w14:ligatures w14:val="none"/>
        </w:rPr>
        <w:t>Examples:</w:t>
      </w:r>
    </w:p>
    <w:p w14:paraId="6CC823A8" w14:textId="77777777" w:rsidR="00BD1207" w:rsidRPr="00BD1207" w:rsidRDefault="00BD1207" w:rsidP="00BD1207">
      <w:pPr>
        <w:shd w:val="clear" w:color="auto" w:fill="FFFFFF"/>
        <w:spacing w:before="100" w:beforeAutospacing="1" w:after="100" w:afterAutospacing="1" w:line="390" w:lineRule="atLeast"/>
        <w:ind w:left="720"/>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t>A great deal of nationalism, or patriotism, is based on wanting to believe the position of one’s home nation is correct. Ambivalence about going to war can be mitigated by wanting to believe it is the right thing for the nation to do. Failure to support the war effort can be considered taboo, or unpatriotic.</w:t>
      </w:r>
    </w:p>
    <w:p w14:paraId="550CDCD1" w14:textId="77777777" w:rsidR="00BD1207" w:rsidRDefault="00BD1207" w:rsidP="00BD1207">
      <w:pPr>
        <w:shd w:val="clear" w:color="auto" w:fill="FFFFFF"/>
        <w:spacing w:before="100" w:beforeAutospacing="1" w:after="100" w:afterAutospacing="1" w:line="390" w:lineRule="atLeast"/>
        <w:ind w:left="720"/>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t>People who find some forms of sexual behavior (homosexuality, promiscuity) to be personally repugnant or unacceptable may uncritically adopt beliefs (it is sinful, an abomination; it is a choice) that provides group support for their personal beliefs despite conflicting evidence.</w:t>
      </w:r>
    </w:p>
    <w:p w14:paraId="50DCC822" w14:textId="77777777" w:rsidR="00BD1207" w:rsidRPr="00BD1207" w:rsidRDefault="00BD1207" w:rsidP="00BD1207">
      <w:pPr>
        <w:numPr>
          <w:ilvl w:val="0"/>
          <w:numId w:val="3"/>
        </w:numPr>
        <w:shd w:val="clear" w:color="auto" w:fill="FFFFFF"/>
        <w:spacing w:after="0" w:line="390" w:lineRule="atLeast"/>
        <w:textAlignment w:val="baseline"/>
        <w:rPr>
          <w:rFonts w:ascii="Helvetica" w:eastAsia="Times New Roman" w:hAnsi="Helvetica" w:cs="Helvetica"/>
          <w:color w:val="333333"/>
          <w:kern w:val="0"/>
          <w14:ligatures w14:val="none"/>
        </w:rPr>
      </w:pPr>
      <w:hyperlink r:id="rId7" w:history="1">
        <w:r w:rsidRPr="00BD1207">
          <w:rPr>
            <w:rFonts w:ascii="Helvetica" w:eastAsia="Times New Roman" w:hAnsi="Helvetica" w:cs="Helvetica"/>
            <w:color w:val="FFFFFF"/>
            <w:kern w:val="0"/>
            <w:bdr w:val="none" w:sz="0" w:space="0" w:color="auto" w:frame="1"/>
            <w:shd w:val="clear" w:color="auto" w:fill="0F6DA8"/>
            <w14:ligatures w14:val="none"/>
          </w:rPr>
          <w:t>"It's true because it's in our vested interest to believe it."</w:t>
        </w:r>
      </w:hyperlink>
    </w:p>
    <w:p w14:paraId="40F69F96" w14:textId="77777777" w:rsidR="00BD1207" w:rsidRPr="00BD1207" w:rsidRDefault="00BD1207" w:rsidP="00BD1207">
      <w:pPr>
        <w:shd w:val="clear" w:color="auto" w:fill="FFFFFF"/>
        <w:spacing w:before="100" w:beforeAutospacing="1" w:after="100" w:afterAutospacing="1" w:line="390" w:lineRule="atLeast"/>
        <w:ind w:left="720"/>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t>Holding onto beliefs that serve the group in its desire for more power or advantage, even though the beliefs are not grounded in evidence or solid reasoning.</w:t>
      </w:r>
    </w:p>
    <w:p w14:paraId="50551229" w14:textId="77777777" w:rsidR="00BD1207" w:rsidRPr="00BD1207" w:rsidRDefault="00BD1207" w:rsidP="00BD1207">
      <w:pPr>
        <w:shd w:val="clear" w:color="auto" w:fill="FFFFFF"/>
        <w:spacing w:beforeAutospacing="1" w:after="0" w:afterAutospacing="1" w:line="390" w:lineRule="atLeast"/>
        <w:ind w:left="720"/>
        <w:textAlignment w:val="baseline"/>
        <w:outlineLvl w:val="3"/>
        <w:rPr>
          <w:rFonts w:ascii="Helvetica" w:eastAsia="Times New Roman" w:hAnsi="Helvetica" w:cs="Helvetica"/>
          <w:b/>
          <w:bCs/>
          <w:color w:val="333333"/>
          <w:kern w:val="0"/>
          <w14:ligatures w14:val="none"/>
        </w:rPr>
      </w:pPr>
      <w:r w:rsidRPr="00BD1207">
        <w:rPr>
          <w:rFonts w:ascii="Helvetica" w:eastAsia="Times New Roman" w:hAnsi="Helvetica" w:cs="Helvetica"/>
          <w:b/>
          <w:bCs/>
          <w:color w:val="333333"/>
          <w:kern w:val="0"/>
          <w:bdr w:val="none" w:sz="0" w:space="0" w:color="auto" w:frame="1"/>
          <w14:ligatures w14:val="none"/>
        </w:rPr>
        <w:t>Examples:</w:t>
      </w:r>
    </w:p>
    <w:p w14:paraId="6AA69279" w14:textId="77777777" w:rsidR="00BD1207" w:rsidRPr="00BD1207" w:rsidRDefault="00BD1207" w:rsidP="00BD1207">
      <w:pPr>
        <w:shd w:val="clear" w:color="auto" w:fill="FFFFFF"/>
        <w:spacing w:before="100" w:beforeAutospacing="1" w:after="100" w:afterAutospacing="1" w:line="390" w:lineRule="atLeast"/>
        <w:ind w:left="720"/>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lastRenderedPageBreak/>
        <w:t>Most political issues involve vested interests, and the financial support for each side reflects that investment. Slavery in the United States in the 18th and 19th centuries was perpetuated not only by innate sociocentrism, but also the financial interests of slave owners.</w:t>
      </w:r>
    </w:p>
    <w:p w14:paraId="134E1529" w14:textId="77777777" w:rsidR="00BD1207" w:rsidRPr="00BD1207" w:rsidRDefault="00BD1207" w:rsidP="00BD1207">
      <w:pPr>
        <w:shd w:val="clear" w:color="auto" w:fill="FFFFFF"/>
        <w:spacing w:before="100" w:beforeAutospacing="1" w:after="100" w:afterAutospacing="1" w:line="390" w:lineRule="atLeast"/>
        <w:ind w:left="720"/>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t>Political decisions regarding relationships with other nations frequently reflect vested interests. Throughout history, nations have often sought alliances with ideological enemies in order to protect their own interests.</w:t>
      </w:r>
    </w:p>
    <w:p w14:paraId="06CAB4C0" w14:textId="77777777" w:rsidR="00BD1207" w:rsidRPr="00BD1207" w:rsidRDefault="00BD1207" w:rsidP="00BD1207">
      <w:pPr>
        <w:numPr>
          <w:ilvl w:val="0"/>
          <w:numId w:val="4"/>
        </w:numPr>
        <w:shd w:val="clear" w:color="auto" w:fill="FFFFFF"/>
        <w:spacing w:after="0" w:line="390" w:lineRule="atLeast"/>
        <w:textAlignment w:val="baseline"/>
        <w:rPr>
          <w:rFonts w:ascii="Helvetica" w:eastAsia="Times New Roman" w:hAnsi="Helvetica" w:cs="Helvetica"/>
          <w:color w:val="333333"/>
          <w:kern w:val="0"/>
          <w14:ligatures w14:val="none"/>
        </w:rPr>
      </w:pPr>
      <w:hyperlink r:id="rId8" w:history="1">
        <w:r w:rsidRPr="00BD1207">
          <w:rPr>
            <w:rFonts w:ascii="Helvetica" w:eastAsia="Times New Roman" w:hAnsi="Helvetica" w:cs="Helvetica"/>
            <w:color w:val="FFFFFF"/>
            <w:kern w:val="0"/>
            <w:bdr w:val="none" w:sz="0" w:space="0" w:color="auto" w:frame="1"/>
            <w:shd w:val="clear" w:color="auto" w:fill="0F6DA8"/>
            <w14:ligatures w14:val="none"/>
          </w:rPr>
          <w:t>"It's true because we have always believed it."</w:t>
        </w:r>
      </w:hyperlink>
    </w:p>
    <w:p w14:paraId="2984DC8E" w14:textId="77777777" w:rsidR="00BD1207" w:rsidRPr="00BD1207" w:rsidRDefault="00BD1207" w:rsidP="00BD1207">
      <w:pPr>
        <w:shd w:val="clear" w:color="auto" w:fill="FFFFFF"/>
        <w:spacing w:before="100" w:beforeAutospacing="1" w:after="100" w:afterAutospacing="1" w:line="390" w:lineRule="atLeast"/>
        <w:ind w:left="720"/>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t>Strong desire to maintain long-held beliefs without serious consideration of their justification or having evidence to support those beliefs. Group traditions or doctrines prevail over time, giving further credence to the "truth" of the group's beliefs.</w:t>
      </w:r>
    </w:p>
    <w:p w14:paraId="690DECE7" w14:textId="77777777" w:rsidR="00BD1207" w:rsidRPr="00BD1207" w:rsidRDefault="00BD1207" w:rsidP="00BD1207">
      <w:pPr>
        <w:shd w:val="clear" w:color="auto" w:fill="FFFFFF"/>
        <w:spacing w:beforeAutospacing="1" w:after="0" w:afterAutospacing="1" w:line="390" w:lineRule="atLeast"/>
        <w:ind w:left="720"/>
        <w:textAlignment w:val="baseline"/>
        <w:outlineLvl w:val="3"/>
        <w:rPr>
          <w:rFonts w:ascii="Helvetica" w:eastAsia="Times New Roman" w:hAnsi="Helvetica" w:cs="Helvetica"/>
          <w:b/>
          <w:bCs/>
          <w:color w:val="333333"/>
          <w:kern w:val="0"/>
          <w14:ligatures w14:val="none"/>
        </w:rPr>
      </w:pPr>
      <w:r w:rsidRPr="00BD1207">
        <w:rPr>
          <w:rFonts w:ascii="Helvetica" w:eastAsia="Times New Roman" w:hAnsi="Helvetica" w:cs="Helvetica"/>
          <w:b/>
          <w:bCs/>
          <w:color w:val="333333"/>
          <w:kern w:val="0"/>
          <w:bdr w:val="none" w:sz="0" w:space="0" w:color="auto" w:frame="1"/>
          <w14:ligatures w14:val="none"/>
        </w:rPr>
        <w:t>Examples:</w:t>
      </w:r>
    </w:p>
    <w:p w14:paraId="56465865" w14:textId="77777777" w:rsidR="00BD1207" w:rsidRPr="00BD1207" w:rsidRDefault="00BD1207" w:rsidP="00BD1207">
      <w:pPr>
        <w:shd w:val="clear" w:color="auto" w:fill="FFFFFF"/>
        <w:spacing w:before="100" w:beforeAutospacing="1" w:after="100" w:afterAutospacing="1" w:line="390" w:lineRule="atLeast"/>
        <w:ind w:left="720"/>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t>Historically, many strong beliefs (the earth is flat, the sun revolves around the earth) have been uncritically handed down through generations as accepted facts.</w:t>
      </w:r>
    </w:p>
    <w:p w14:paraId="63BA0BE8" w14:textId="77777777" w:rsidR="00BD1207" w:rsidRPr="00BD1207" w:rsidRDefault="00BD1207" w:rsidP="00BD1207">
      <w:pPr>
        <w:shd w:val="clear" w:color="auto" w:fill="FFFFFF"/>
        <w:spacing w:before="100" w:beforeAutospacing="1" w:after="100" w:afterAutospacing="1" w:line="390" w:lineRule="atLeast"/>
        <w:ind w:left="720"/>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t>Prejudices frequently have an enduring history and may be passed down through families, communities, or nations. Parents who dislike or speak poorly of a racial or ethnic group may inculcate that value in children in the family group. Children discover other children with similar beliefs and the group belief then has both history and numbers.</w:t>
      </w:r>
    </w:p>
    <w:p w14:paraId="42219CED" w14:textId="77777777" w:rsidR="00BD1207" w:rsidRPr="00BD1207" w:rsidRDefault="00BD1207" w:rsidP="00BD1207">
      <w:pPr>
        <w:shd w:val="clear" w:color="auto" w:fill="FFFFFF"/>
        <w:spacing w:before="100" w:beforeAutospacing="1" w:after="100" w:afterAutospacing="1" w:line="390" w:lineRule="atLeast"/>
        <w:ind w:left="720"/>
        <w:textAlignment w:val="baseline"/>
        <w:rPr>
          <w:rFonts w:ascii="Helvetica" w:eastAsia="Times New Roman" w:hAnsi="Helvetica" w:cs="Helvetica"/>
          <w:color w:val="333333"/>
          <w:kern w:val="0"/>
          <w14:ligatures w14:val="none"/>
        </w:rPr>
      </w:pPr>
    </w:p>
    <w:p w14:paraId="7DCE1629" w14:textId="77777777" w:rsidR="00BD1207" w:rsidRDefault="00BD1207" w:rsidP="00BD1207">
      <w:pPr>
        <w:shd w:val="clear" w:color="auto" w:fill="FFFFFF"/>
        <w:spacing w:before="100" w:beforeAutospacing="1" w:after="100" w:afterAutospacing="1" w:line="390" w:lineRule="atLeast"/>
        <w:ind w:left="720"/>
        <w:textAlignment w:val="baseline"/>
        <w:rPr>
          <w:rFonts w:ascii="Helvetica" w:eastAsia="Times New Roman" w:hAnsi="Helvetica" w:cs="Helvetica"/>
          <w:color w:val="333333"/>
          <w:kern w:val="0"/>
          <w14:ligatures w14:val="none"/>
        </w:rPr>
      </w:pPr>
    </w:p>
    <w:p w14:paraId="1FE683F4" w14:textId="77777777" w:rsidR="00BD1207" w:rsidRPr="00BD1207" w:rsidRDefault="00BD1207" w:rsidP="00BD1207">
      <w:pPr>
        <w:shd w:val="clear" w:color="auto" w:fill="FFFFFF"/>
        <w:spacing w:before="100" w:beforeAutospacing="1" w:after="100" w:afterAutospacing="1" w:line="390" w:lineRule="atLeast"/>
        <w:ind w:left="720"/>
        <w:textAlignment w:val="baseline"/>
        <w:rPr>
          <w:rFonts w:ascii="Helvetica" w:eastAsia="Times New Roman" w:hAnsi="Helvetica" w:cs="Helvetica"/>
          <w:color w:val="333333"/>
          <w:kern w:val="0"/>
          <w14:ligatures w14:val="none"/>
        </w:rPr>
      </w:pPr>
    </w:p>
    <w:p w14:paraId="04F99885" w14:textId="77777777" w:rsidR="00BD1207" w:rsidRPr="00BD1207" w:rsidRDefault="00BD1207" w:rsidP="00BD1207">
      <w:pPr>
        <w:numPr>
          <w:ilvl w:val="0"/>
          <w:numId w:val="1"/>
        </w:numPr>
        <w:shd w:val="clear" w:color="auto" w:fill="FFFFFF"/>
        <w:spacing w:after="0" w:line="390" w:lineRule="atLeast"/>
        <w:textAlignment w:val="baseline"/>
        <w:rPr>
          <w:rFonts w:ascii="Helvetica" w:eastAsia="Times New Roman" w:hAnsi="Helvetica" w:cs="Helvetica"/>
          <w:color w:val="333333"/>
          <w:kern w:val="0"/>
          <w14:ligatures w14:val="none"/>
        </w:rPr>
      </w:pPr>
      <w:hyperlink r:id="rId9" w:history="1">
        <w:r w:rsidRPr="00BD1207">
          <w:rPr>
            <w:rFonts w:ascii="Helvetica" w:eastAsia="Times New Roman" w:hAnsi="Helvetica" w:cs="Helvetica"/>
            <w:color w:val="333333"/>
            <w:kern w:val="0"/>
            <w:bdr w:val="none" w:sz="0" w:space="0" w:color="auto" w:frame="1"/>
            <w:shd w:val="clear" w:color="auto" w:fill="FFFFFF"/>
            <w14:ligatures w14:val="none"/>
          </w:rPr>
          <w:t>"It's true because we want to believe it."</w:t>
        </w:r>
      </w:hyperlink>
    </w:p>
    <w:p w14:paraId="765CE81A" w14:textId="77777777" w:rsidR="00BD1207" w:rsidRPr="00BD1207" w:rsidRDefault="00BD1207" w:rsidP="00BD1207">
      <w:pPr>
        <w:numPr>
          <w:ilvl w:val="0"/>
          <w:numId w:val="1"/>
        </w:numPr>
        <w:shd w:val="clear" w:color="auto" w:fill="FFFFFF"/>
        <w:spacing w:after="0" w:line="390" w:lineRule="atLeast"/>
        <w:textAlignment w:val="baseline"/>
        <w:rPr>
          <w:rFonts w:ascii="Helvetica" w:eastAsia="Times New Roman" w:hAnsi="Helvetica" w:cs="Helvetica"/>
          <w:color w:val="333333"/>
          <w:kern w:val="0"/>
          <w14:ligatures w14:val="none"/>
        </w:rPr>
      </w:pPr>
      <w:hyperlink r:id="rId10" w:history="1">
        <w:r w:rsidRPr="00BD1207">
          <w:rPr>
            <w:rFonts w:ascii="Helvetica" w:eastAsia="Times New Roman" w:hAnsi="Helvetica" w:cs="Helvetica"/>
            <w:color w:val="333333"/>
            <w:kern w:val="0"/>
            <w:bdr w:val="none" w:sz="0" w:space="0" w:color="auto" w:frame="1"/>
            <w:shd w:val="clear" w:color="auto" w:fill="FFFFFF"/>
            <w14:ligatures w14:val="none"/>
          </w:rPr>
          <w:t>"It's true because it's in our vested interest to believe it."</w:t>
        </w:r>
      </w:hyperlink>
    </w:p>
    <w:p w14:paraId="654119B7" w14:textId="77777777" w:rsidR="00BD1207" w:rsidRPr="00BD1207" w:rsidRDefault="00BD1207" w:rsidP="00BD1207">
      <w:pPr>
        <w:numPr>
          <w:ilvl w:val="0"/>
          <w:numId w:val="1"/>
        </w:numPr>
        <w:shd w:val="clear" w:color="auto" w:fill="FFFFFF"/>
        <w:spacing w:after="0" w:line="390" w:lineRule="atLeast"/>
        <w:textAlignment w:val="baseline"/>
        <w:rPr>
          <w:rFonts w:ascii="Helvetica" w:eastAsia="Times New Roman" w:hAnsi="Helvetica" w:cs="Helvetica"/>
          <w:color w:val="333333"/>
          <w:kern w:val="0"/>
          <w14:ligatures w14:val="none"/>
        </w:rPr>
      </w:pPr>
      <w:hyperlink r:id="rId11" w:history="1">
        <w:r w:rsidRPr="00BD1207">
          <w:rPr>
            <w:rFonts w:ascii="Helvetica" w:eastAsia="Times New Roman" w:hAnsi="Helvetica" w:cs="Helvetica"/>
            <w:color w:val="333333"/>
            <w:kern w:val="0"/>
            <w:bdr w:val="none" w:sz="0" w:space="0" w:color="auto" w:frame="1"/>
            <w:shd w:val="clear" w:color="auto" w:fill="FFFFFF"/>
            <w14:ligatures w14:val="none"/>
          </w:rPr>
          <w:t>"It's true because we have always believed it."</w:t>
        </w:r>
      </w:hyperlink>
    </w:p>
    <w:p w14:paraId="0D846D75" w14:textId="77777777" w:rsidR="00BD1207" w:rsidRPr="00BD1207" w:rsidRDefault="00BD1207" w:rsidP="00BD1207">
      <w:pPr>
        <w:shd w:val="clear" w:color="auto" w:fill="FFFFFF"/>
        <w:spacing w:beforeAutospacing="1" w:after="0" w:afterAutospacing="1" w:line="390" w:lineRule="atLeast"/>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b/>
          <w:bCs/>
          <w:color w:val="333333"/>
          <w:kern w:val="0"/>
          <w:bdr w:val="none" w:sz="0" w:space="0" w:color="auto" w:frame="1"/>
          <w14:ligatures w14:val="none"/>
        </w:rPr>
        <w:t>References:</w:t>
      </w:r>
    </w:p>
    <w:p w14:paraId="2C67CB2A" w14:textId="77777777" w:rsidR="00BD1207" w:rsidRPr="00BD1207" w:rsidRDefault="00BD1207" w:rsidP="00BD1207">
      <w:pPr>
        <w:shd w:val="clear" w:color="auto" w:fill="FFFFFF"/>
        <w:spacing w:before="100" w:beforeAutospacing="1" w:after="100" w:afterAutospacing="1" w:line="390" w:lineRule="atLeast"/>
        <w:textAlignment w:val="baseline"/>
        <w:rPr>
          <w:rFonts w:ascii="Helvetica" w:eastAsia="Times New Roman" w:hAnsi="Helvetica" w:cs="Helvetica"/>
          <w:color w:val="333333"/>
          <w:kern w:val="0"/>
          <w14:ligatures w14:val="none"/>
        </w:rPr>
      </w:pPr>
      <w:r w:rsidRPr="00BD1207">
        <w:rPr>
          <w:rFonts w:ascii="Helvetica" w:eastAsia="Times New Roman" w:hAnsi="Helvetica" w:cs="Helvetica"/>
          <w:color w:val="333333"/>
          <w:kern w:val="0"/>
          <w14:ligatures w14:val="none"/>
        </w:rPr>
        <w:t>Paul, R. W., &amp; Elder, L. (2002). Critical thinking: Tools for taking charge of your professional and personal life. Upper Saddle River, NJ: Financial Times Prentice Hall.</w:t>
      </w:r>
    </w:p>
    <w:p w14:paraId="349F80D0" w14:textId="77777777" w:rsidR="00DC2C4F" w:rsidRDefault="00DC2C4F"/>
    <w:sectPr w:rsidR="00DC2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D2B"/>
    <w:multiLevelType w:val="multilevel"/>
    <w:tmpl w:val="D21C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2113B"/>
    <w:multiLevelType w:val="multilevel"/>
    <w:tmpl w:val="5296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1090E"/>
    <w:multiLevelType w:val="multilevel"/>
    <w:tmpl w:val="2044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30E06"/>
    <w:multiLevelType w:val="multilevel"/>
    <w:tmpl w:val="574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342893">
    <w:abstractNumId w:val="3"/>
  </w:num>
  <w:num w:numId="2" w16cid:durableId="78062185">
    <w:abstractNumId w:val="2"/>
  </w:num>
  <w:num w:numId="3" w16cid:durableId="1097601099">
    <w:abstractNumId w:val="1"/>
  </w:num>
  <w:num w:numId="4" w16cid:durableId="157936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MyNbe0NDU3MzMwMzRR0lEKTi0uzszPAykwrAUAS2ZdJSwAAAA="/>
  </w:docVars>
  <w:rsids>
    <w:rsidRoot w:val="00BD1207"/>
    <w:rsid w:val="00754322"/>
    <w:rsid w:val="00916308"/>
    <w:rsid w:val="00925BBC"/>
    <w:rsid w:val="00BD1207"/>
    <w:rsid w:val="00DC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FFFF"/>
  <w15:chartTrackingRefBased/>
  <w15:docId w15:val="{0B4DE01F-2784-4F84-8D15-E5C818F8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207"/>
    <w:rPr>
      <w:rFonts w:eastAsiaTheme="majorEastAsia" w:cstheme="majorBidi"/>
      <w:color w:val="272727" w:themeColor="text1" w:themeTint="D8"/>
    </w:rPr>
  </w:style>
  <w:style w:type="paragraph" w:styleId="Title">
    <w:name w:val="Title"/>
    <w:basedOn w:val="Normal"/>
    <w:next w:val="Normal"/>
    <w:link w:val="TitleChar"/>
    <w:uiPriority w:val="10"/>
    <w:qFormat/>
    <w:rsid w:val="00BD1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207"/>
    <w:pPr>
      <w:spacing w:before="160"/>
      <w:jc w:val="center"/>
    </w:pPr>
    <w:rPr>
      <w:i/>
      <w:iCs/>
      <w:color w:val="404040" w:themeColor="text1" w:themeTint="BF"/>
    </w:rPr>
  </w:style>
  <w:style w:type="character" w:customStyle="1" w:styleId="QuoteChar">
    <w:name w:val="Quote Char"/>
    <w:basedOn w:val="DefaultParagraphFont"/>
    <w:link w:val="Quote"/>
    <w:uiPriority w:val="29"/>
    <w:rsid w:val="00BD1207"/>
    <w:rPr>
      <w:i/>
      <w:iCs/>
      <w:color w:val="404040" w:themeColor="text1" w:themeTint="BF"/>
    </w:rPr>
  </w:style>
  <w:style w:type="paragraph" w:styleId="ListParagraph">
    <w:name w:val="List Paragraph"/>
    <w:basedOn w:val="Normal"/>
    <w:uiPriority w:val="34"/>
    <w:qFormat/>
    <w:rsid w:val="00BD1207"/>
    <w:pPr>
      <w:ind w:left="720"/>
      <w:contextualSpacing/>
    </w:pPr>
  </w:style>
  <w:style w:type="character" w:styleId="IntenseEmphasis">
    <w:name w:val="Intense Emphasis"/>
    <w:basedOn w:val="DefaultParagraphFont"/>
    <w:uiPriority w:val="21"/>
    <w:qFormat/>
    <w:rsid w:val="00BD1207"/>
    <w:rPr>
      <w:i/>
      <w:iCs/>
      <w:color w:val="0F4761" w:themeColor="accent1" w:themeShade="BF"/>
    </w:rPr>
  </w:style>
  <w:style w:type="paragraph" w:styleId="IntenseQuote">
    <w:name w:val="Intense Quote"/>
    <w:basedOn w:val="Normal"/>
    <w:next w:val="Normal"/>
    <w:link w:val="IntenseQuoteChar"/>
    <w:uiPriority w:val="30"/>
    <w:qFormat/>
    <w:rsid w:val="00BD1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207"/>
    <w:rPr>
      <w:i/>
      <w:iCs/>
      <w:color w:val="0F4761" w:themeColor="accent1" w:themeShade="BF"/>
    </w:rPr>
  </w:style>
  <w:style w:type="character" w:styleId="IntenseReference">
    <w:name w:val="Intense Reference"/>
    <w:basedOn w:val="DefaultParagraphFont"/>
    <w:uiPriority w:val="32"/>
    <w:qFormat/>
    <w:rsid w:val="00BD12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us.capella.edu/critical-thinking/qualities-of-the-thinker/egocentric-and-sociocentric-thinking/sociocentric-thinking?check_logged_i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mpus.capella.edu/critical-thinking/qualities-of-the-thinker/egocentric-and-sociocentric-thinking/sociocentric-thinking?check_logged_in=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mpus.capella.edu/critical-thinking/qualities-of-the-thinker/egocentric-and-sociocentric-thinking/sociocentric-thinking?check_logged_in=1" TargetMode="External"/><Relationship Id="rId11" Type="http://schemas.openxmlformats.org/officeDocument/2006/relationships/hyperlink" Target="https://campus.capella.edu/critical-thinking/qualities-of-the-thinker/egocentric-and-sociocentric-thinking/sociocentric-thinking?check_logged_in=1" TargetMode="External"/><Relationship Id="rId5" Type="http://schemas.openxmlformats.org/officeDocument/2006/relationships/hyperlink" Target="https://campus.capella.edu/critical-thinking/qualities-of-the-thinker/egocentric-and-sociocentric-thinking/sociocentric-thinking?check_logged_in=1" TargetMode="External"/><Relationship Id="rId10" Type="http://schemas.openxmlformats.org/officeDocument/2006/relationships/hyperlink" Target="https://campus.capella.edu/critical-thinking/qualities-of-the-thinker/egocentric-and-sociocentric-thinking/sociocentric-thinking?check_logged_in=1" TargetMode="External"/><Relationship Id="rId4" Type="http://schemas.openxmlformats.org/officeDocument/2006/relationships/webSettings" Target="webSettings.xml"/><Relationship Id="rId9" Type="http://schemas.openxmlformats.org/officeDocument/2006/relationships/hyperlink" Target="https://campus.capella.edu/critical-thinking/qualities-of-the-thinker/egocentric-and-sociocentric-thinking/sociocentric-thinking?check_logged_i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Hanako Hueston-Trody</dc:creator>
  <cp:keywords/>
  <dc:description/>
  <cp:lastModifiedBy>Hanako Hueston-Trody</cp:lastModifiedBy>
  <cp:revision>1</cp:revision>
  <dcterms:created xsi:type="dcterms:W3CDTF">2026-06-18T12:06:00Z</dcterms:created>
  <dcterms:modified xsi:type="dcterms:W3CDTF">2026-06-18T12:08:00Z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f50f172e-0a46-4688-8b62-6f620abe75ee</vt:lpwstr>
  </property>
</Properties>
</file>